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unsanded moulded brick without grain with a very uneven structure and frog. Due to the natural reduction with coal the bricks have a strong fired rough field fire aspect. Some visible sides of the brick also contain traces of coal and of the manual production method. The colour of the body is cream and nuanced from cream to ecru.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The facing brick is a moulded brick with frog and has a homogeneous structure.It is free from lime and other inclusions and has at least one stretch and one head which are free from cracks and other aspects which negatively affect the overall appearance of the brickwork. This entirely natural product is made of alluvial clay from the Quaternary from the Scheldt valley. The brick is formed in a unsanded mould by putting in a lump of clay and is fired at at least 1150 °C.</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*215x101x64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59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66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1725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14%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0.60 W/mK (table 1 EN1745) </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N10 Brick J</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