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unsanded moulded brick without grain with a very uneven structure and frog. Due to the natural reduction with coal the bricks have a strong fired rough field fire aspect. Some visible sides of the brick also contain traces of coal and of the manual production method. The colour of the body is red with strong red and red-brown to purple-blue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The facing brick is a moulded brick with frog and has a homogeneous structure.It is free from lime and other inclusions and has at least one stretch and one head which are free from cracks and other aspects which negatively affect the overall appearance of the brickwork. This entirely natural product is made of alluvial clay from the Quaternary from the Scheldt valley. The brick is formed in a unsanded mould by putting in a lump of clay and is fired at at least 1150 °C.</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*210x100x62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61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69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