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(internal and/or external ashlar) has been constructed using a solid, sanded, authentic coal-fired brick with unique shades of colour. The bricks are laid by hand and firing is reduced by adding a fine coal mixture and carrying out laying by hand. As a result of the natural reduction through coal-firing, some facing bricks have the light look of a field kiln brick while a number of visible sides of the brick contain coal residue and signs of manual laying. Due to the atmospheric differences in the kiln, a number of bricks have paler sides and one darker side. The colour is black-brown with nuances and the colour of the body is red-brown.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sanded mould by putting in a lump of clay and is fired at at least 1150 °C. The facing brick is a solid moulded brick and has a grained structure. It is free from lime and other inclusions and has at least one stretch and one head which are free from cracks and other aspects which negatively affect the overall appearance of the brickwork.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*240x115x38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0.65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 </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3007</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01-11-2025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