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 very uneven structure. Due to the natural reduction with coal the bricks have a strong fired rough field fire aspect. Some visible sides of the brick also contain traces of coal and of the manual production method. The colour of the body is warm salmon pink.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bricks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*247x116x38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78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90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0.65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 2013</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03-10-2026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