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sanded moulded brick with frog without grain with an even structure.The bricks are through-coloured and the colour is red purple.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The facing brick is a moulded brick with frog and has a homogeneous structure.It is free from lime and other inclusions and has at least one stretch and one head which are free from cracks and other aspects which negatively affect the overall appearance of the brickwork. This entirely natural product is made of alluvial clay from the Quaternary from the Scheldt valley.The brick is formed in a sanded mould by putting in a lump of clay and is fired at at least 1150 °C.</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*212x100x63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59 (12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CREA 8012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