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The pavement (the whole of the paving including Vande Moortel Colosseum clay pavers, laying bed, sub-base layer and any sub-foundations) has a surface permeability of &gt; 5.4 * 10-5 m/s.</w:t>
      </w:r>
    </w:p>
    <w:p w:rsidR="00362EC5" w:rsidP="00362EC5" w:rsidRDefault="00362EC5" w14:paraId="198A92FA" w14:textId="433832DF">
      <w:pPr>
        <w:pStyle w:val="Kop1"/>
        <w:keepNext/>
        <w:keepLines/>
        <w:suppressAutoHyphens/>
        <w:spacing w:before="109"/>
        <w:ind w:left="0" w:firstLine="464"/>
      </w:pPr>
      <w:r>
        <w:rPr>
          <w:noProof/>
          <w:color w:val="111111"/>
        </w:rPr>
        <w:t>COLOUR</w:t>
      </w:r>
    </w:p>
    <w:p w:rsidR="00362EC5" w:rsidP="00362EC5" w:rsidRDefault="00362EC5" w14:paraId="74352F93" w14:textId="688F89EE">
      <w:pPr>
        <w:spacing w:before="5" w:line="264" w:lineRule="auto"/>
        <w:ind w:left="464" w:right="602"/>
        <w:rPr>
          <w:color w:val="111111"/>
          <w:sz w:val="16"/>
        </w:rPr>
      </w:pPr>
      <w:r>
        <w:rPr>
          <w:noProof/>
          <w:color w:val="111111"/>
          <w:sz w:val="16"/>
        </w:rPr>
        <w:t>Anthracite.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 description</w:t>
      </w:r>
    </w:p>
    <w:p w:rsidR="00E47813" w:rsidP="00901CEA" w:rsidRDefault="00094E90" w14:paraId="63F168BE" w14:textId="7B04BEF8">
      <w:pPr>
        <w:spacing w:before="5" w:line="264" w:lineRule="auto"/>
        <w:ind w:left="464" w:right="463"/>
        <w:rPr>
          <w:color w:val="111111"/>
          <w:sz w:val="16"/>
        </w:rPr>
      </w:pPr>
      <w:r>
        <w:rPr>
          <w:noProof/>
          <w:color w:val="111111"/>
          <w:sz w:val="16"/>
        </w:rPr>
        <w:t>The bricks are formed individually in the sanded mould to a solid mass, pressed from clay of alluvial origin from an area located in the Scheldt basin and fired in a tunnel oven at a temperature of approximately 1180°C. On the narrow side the bricks have an sanded surface structure.  The shape is slightly irregular. Finally the bricks are processed until they have acquired a weathered</w:t>
        <w:br/>
        <w:t>shape, due to which the paver surface leaves a rustic, aged impression. </w:t>
      </w:r>
    </w:p>
    <w:p w:rsidR="00AB0431" w:rsidP="00901CEA" w:rsidRDefault="00AB0431" w14:paraId="001F1CD2" w14:textId="44A146FB">
      <w:pPr>
        <w:spacing w:before="5" w:line="264" w:lineRule="auto"/>
        <w:ind w:left="464" w:right="463"/>
        <w:rPr>
          <w:color w:val="111111"/>
          <w:sz w:val="16"/>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paving is laid in fired clay bricks of Belgian origin, quality class A, carrying the Benor mark, the CE mark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label according to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*217x52x70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85</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 PHYSICAL AND MECHANICAL PROPERTIES ACCORDING TO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Aspect</w:t>
            </w:r>
          </w:p>
        </w:tc>
        <w:tc>
          <w:p>
            <w:r>
              <w:rPr>
                <w:sz w:val="14"/>
                <w:rFonts w:ascii="Myriad Pro Light"/>
                <w:b/>
                <w:tcPr>
                  <w:vAlign w:val="center"/>
                </w:tcPr>
              </w:rPr>
              <w:t>Class</w:t>
            </w:r>
          </w:p>
        </w:tc>
        <w:tc>
          <w:p>
            <w:r>
              <w:rPr>
                <w:sz w:val="14"/>
                <w:rFonts w:ascii="Myriad Pro Light"/>
                <w:b/>
                <w:tcPr>
                  <w:vAlign w:val="center"/>
                </w:tcPr>
              </w:rPr>
              <w:t>Mean</w:t>
            </w:r>
          </w:p>
        </w:tc>
        <w:tc>
          <w:p>
            <w:r>
              <w:rPr>
                <w:sz w:val="14"/>
                <w:rFonts w:ascii="Myriad Pro Light"/>
                <w:b/>
                <w:tcPr>
                  <w:vAlign w:val="center"/>
                </w:tcPr>
              </w:rPr>
              <w:t>Individual</w:t>
            </w:r>
          </w:p>
        </w:tc>
      </w:tr>
      <w:tr>
        <w:tc>
          <w:p>
            <w:r>
              <w:rPr>
                <w:sz w:val="14"/>
                <w:rFonts w:ascii="Myriad Pro Light"/>
                <w:tcPr>
                  <w:vAlign w:val="center"/>
                </w:tcPr>
              </w:rPr>
              <w:t>Water absorption  NBN EN771</w:t>
            </w:r>
          </w:p>
        </w:tc>
        <w:tc>
          <w:p>
            <w:r>
              <w:rPr>
                <w:sz w:val="14"/>
                <w:rFonts w:ascii="Myriad Pro Light"/>
                <w:tcPr>
                  <w:vAlign w:val="center"/>
                </w:tcPr>
              </w:rPr>
              <w:t>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Transverse breaking load</w:t>
            </w:r>
          </w:p>
        </w:tc>
        <w:tc>
          <w:p>
            <w:r>
              <w:rPr>
                <w:sz w:val="14"/>
                <w:rFonts w:ascii="Myriad Pro Light"/>
                <w:tcPr>
                  <w:vAlign w:val="center"/>
                </w:tcPr>
              </w:rPr>
              <w:t>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Abrasion resistance</w:t>
            </w:r>
          </w:p>
        </w:tc>
        <w:tc>
          <w:p>
            <w:r>
              <w:rPr>
                <w:sz w:val="14"/>
                <w:rFonts w:ascii="Myriad Pro Light"/>
                <w:tcPr>
                  <w:vAlign w:val="center"/>
                </w:tcPr>
              </w:rPr>
              <w:t>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 resistance</w:t>
            </w:r>
          </w:p>
        </w:tc>
        <w:tc>
          <w:p>
            <w:r>
              <w:rPr>
                <w:sz w:val="14"/>
                <w:rFonts w:ascii="Myriad Pro Light"/>
                <w:tcPr>
                  <w:vAlign w:val="center"/>
                </w:tcPr>
              </w:rPr>
              <w:t>FP100</w:t>
            </w:r>
          </w:p>
        </w:tc>
        <w:tc>
          <w:p>
            <w:r>
              <w:rPr>
                <w:sz w:val="14"/>
                <w:rFonts w:ascii="Myriad Pro Light"/>
                <w:tcPr>
                  <w:vAlign w:val="center"/>
                </w:tcPr>
              </w:rPr>
              <w:t>freeze/thaw resistant</w:t>
            </w:r>
          </w:p>
        </w:tc>
        <w:tc>
          <w:p>
            <w:r>
              <w:rPr>
                <w:sz w:val="14"/>
                <w:rFonts w:ascii="Myriad Pro Light"/>
                <w:tcPr>
                  <w:vAlign w:val="center"/>
                </w:tcPr>
              </w:rPr>
              <w:t>freeze/thaw resistant</w:t>
            </w:r>
          </w:p>
        </w:tc>
      </w:tr>
      <w:tr>
        <w:tc>
          <w:p>
            <w:r>
              <w:rPr>
                <w:sz w:val="14"/>
                <w:rFonts w:ascii="Myriad Pro Light"/>
                <w:tcPr>
                  <w:vAlign w:val="center"/>
                </w:tcPr>
              </w:rPr>
              <w:t>Wet skid resistance</w:t>
            </w:r>
          </w:p>
        </w:tc>
        <w:tc>
          <w:p>
            <w:r>
              <w:rPr>
                <w:sz w:val="14"/>
                <w:rFonts w:ascii="Myriad Pro Light"/>
                <w:tcPr>
                  <w:vAlign w:val="center"/>
                </w:tcPr>
              </w:rPr>
              <w:t>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Acid resistance</w:t>
            </w:r>
          </w:p>
        </w:tc>
        <w:tc>
          <w:p>
            <w:r>
              <w:rPr>
                <w:sz w:val="14"/>
                <w:rFonts w:ascii="Myriad Pro Light"/>
                <w:tcPr>
                  <w:vAlign w:val="center"/>
                </w:tcPr>
              </w:rPr>
              <w:t>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Size tolerance*</w:t>
            </w:r>
          </w:p>
        </w:tc>
        <w:tc>
          <w:p>
            <w:r>
              <w:rPr>
                <w:sz w:val="14"/>
                <w:rFonts w:ascii="Myriad Pro Light"/>
                <w:tcPr>
                  <w:vAlign w:val="center"/>
                </w:tcPr>
              </w:rPr>
              <w:t>NPD</w:t>
            </w:r>
          </w:p>
        </w:tc>
        <w:tc>
          <w:p>
            <w:r>
              <w:rPr>
                <w:sz w:val="14"/>
                <w:rFonts w:ascii="Myriad Pro Light"/>
                <w:tcPr>
                  <w:vAlign w:val="center"/>
                </w:tcPr>
              </w:rPr>
              <w:t>NPD</w:t>
            </w:r>
          </w:p>
        </w:tc>
        <w:tc>
          <w:p>
            <w:r>
              <w:rPr>
                <w:sz w:val="14"/>
                <w:rFonts w:ascii="Myriad Pro Light"/>
                <w:tcPr>
                  <w:vAlign w:val="center"/>
                </w:tcPr>
              </w:rPr>
              <w:t>NPD</w:t>
            </w:r>
          </w:p>
        </w:tc>
      </w:tr>
    </w:tbl>
    <w:p w:rsidR="00852C38" w:rsidP="00852C38" w:rsidRDefault="00852C38" w14:paraId="0AB7BABA" w14:textId="49A8D9FB">
      <w:pPr>
        <w:pStyle w:val="Kop1"/>
        <w:keepNext/>
        <w:keepLines/>
        <w:suppressAutoHyphens/>
        <w:spacing w:before="109"/>
        <w:ind w:left="0" w:firstLine="464"/>
      </w:pPr>
      <w:r>
        <w:rPr>
          <w:noProof/>
          <w:color w:val="111111"/>
        </w:rPr>
        <w:t>LAYING</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The clay pavers are laid on edge. In the case of water-permeable paving, the slope can be restricted to 1% in order to allow infiltration. The clay pavers are to be laid loosely against each other with a minimum joint (2 to 3 mm), if necessary with a slightly wider joint in places in order to keep to the bond. </w:t>
        <w:br/>
        <w:t/>
        <w:br/>
        <w:t>Before vibrating the paving, Vande Moortel H2O Clay Paving Sand – a jointing sand with a water permeability of &gt; 5.4 * 10-5 m/s – is embedded between the clay pavers. The filter stability of this sand is matched to the paving layer of the Vande Moortel H2O Bedding Course.</w:t>
        <w:br/>
        <w:t>Jointing sand is applied for the first time until the clay pavers are stable and seated firmly so that they can no longer press against each other during vibration. During vibration, a rubber mat is placed underneath the vibration plate in order to prevent damage to the clay pavers. After vibration, Vande Moortel H2O Clay Paving Sand should be spread over the whole surface again and swept in several times. Repeat the procedure until the clay pavers can no longer move and the joint is completely filled. Only then is the paved surface ready for use.</w:t>
      </w:r>
      <w:r w:rsidR="00461C91">
        <w:rPr>
          <w:color w:val="111111"/>
          <w:sz w:val="16"/>
        </w:rPr>
        <w:br/>
      </w:r>
    </w:p>
    <w:p w:rsidR="00852C38" w:rsidP="00852C38" w:rsidRDefault="00852C38" w14:paraId="37F21B42" w14:textId="2CCBF522">
      <w:pPr>
        <w:pStyle w:val="Kop1"/>
      </w:pPr>
      <w:r>
        <w:rPr>
          <w:noProof/>
          <w:color w:val="111111"/>
        </w:rPr>
        <w:t>APPLICATION</w:t>
      </w:r>
    </w:p>
    <w:p w:rsidR="00852C38" w:rsidP="00852C38" w:rsidRDefault="00852C38" w14:paraId="5E0C973B" w14:textId="670B082E">
      <w:pPr>
        <w:spacing w:before="5" w:line="264" w:lineRule="auto"/>
        <w:ind w:left="464" w:right="463"/>
        <w:rPr>
          <w:color w:val="111111"/>
          <w:sz w:val="16"/>
        </w:rPr>
      </w:pPr>
      <w:r>
        <w:rPr>
          <w:noProof/>
          <w:color w:val="111111"/>
          <w:sz w:val="16"/>
        </w:rPr>
        <w:t>The use of water-permeable clay pavers is however restricted to OCW traffic categories II, III and IV. In practice, a maximum of 100 trucks (&gt; 3.5 tons) and 5,000 light vehicles (&lt; 3.5 tons) per day is expected. </w:t>
        <w:br/>
        <w:t>Due to the relatively restricted joint width, the paving remains easy to walk on and drive on, and a normal level of comfort is maintained in terms of use and noise. </w:t>
        <w:br/>
        <w:t>The clay paver also retains its normal strength and resistance to acids and de-icing salts.</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MATERIALS</w:t>
      </w:r>
      <w:r w:rsidR="002F4419">
        <w:rPr>
          <w:color w:val="111111"/>
        </w:rPr>
        <w:br/>
      </w:r>
    </w:p>
    <w:p w:rsidR="00420024" w:rsidP="008742C3" w:rsidRDefault="00420024" w14:paraId="39DB7440" w14:textId="5F7FF1FA">
      <w:pPr>
        <w:pStyle w:val="Kop1"/>
        <w:keepLines/>
        <w:widowControl/>
      </w:pPr>
      <w:r>
        <w:rPr>
          <w:noProof/>
          <w:color w:val="111111"/>
        </w:rPr>
        <w:t>Joint filler</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is a naturally pure crushed sand originating from the process of crushing natural stone. Its natural form is angular and sharp with virtually no fine particles smaller than 0.063 mm (NBN EN 933-1) and a grain thickness of up to 2 mm. The colour is dark grey to anthracite.</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Packaging and consumption of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Packaging</w:t>
            </w:r>
          </w:p>
        </w:tc>
        <w:tc>
          <w:p>
            <w:r>
              <w:rPr>
                <w:sz w:val="14"/>
                <w:rFonts w:ascii="Myriad Pro Light"/>
                <w:b/>
                <w:tcPr>
                  <w:vAlign w:val="center"/>
                </w:tcPr>
              </w:rPr>
              <w:t>Per 25 kg bag</w:t>
            </w:r>
          </w:p>
        </w:tc>
      </w:tr>
      <w:tr>
        <w:tc>
          <w:p>
            <w:r>
              <w:rPr>
                <w:sz w:val="14"/>
                <w:rFonts w:ascii="Myriad Pro Light"/>
                <w:tcPr>
                  <w:vAlign w:val="center"/>
                </w:tcPr>
              </w:rPr>
              <w:t>Consumption</w:t>
            </w:r>
          </w:p>
        </w:tc>
        <w:tc>
          <w:p>
            <w:r>
              <w:rPr>
                <w:sz w:val="14"/>
                <w:rFonts w:ascii="Myriad Pro Light"/>
                <w:tcPr>
                  <w:vAlign w:val="center"/>
                </w:tcPr>
              </w:rPr>
              <w:t> </w:t>
            </w:r>
          </w:p>
        </w:tc>
      </w:tr>
      <w:tr>
        <w:tc>
          <w:p>
            <w:r>
              <w:rPr>
                <w:sz w:val="14"/>
                <w:rFonts w:ascii="Myriad Pro Light"/>
                <w:tcPr>
                  <w:vAlign w:val="center"/>
                </w:tcPr>
              </w:rPr>
              <w:t>SeptimA/Elegantia</w:t>
            </w:r>
          </w:p>
        </w:tc>
        <w:tc>
          <w:p>
            <w:r>
              <w:rPr>
                <w:sz w:val="14"/>
                <w:rFonts w:ascii="Myriad Pro Light"/>
                <w:tcPr>
                  <w:vAlign w:val="center"/>
                </w:tcPr>
              </w:rPr>
              <w:t>4.0 m² per 25 kg</w:t>
            </w:r>
          </w:p>
        </w:tc>
      </w:tr>
      <w:tr>
        <w:tc>
          <w:p>
            <w:r>
              <w:rPr>
                <w:sz w:val="14"/>
                <w:rFonts w:ascii="Myriad Pro Light"/>
                <w:tcPr>
                  <w:vAlign w:val="center"/>
                </w:tcPr>
              </w:rPr>
              <w:t>Ancienne Belgique</w:t>
            </w:r>
          </w:p>
        </w:tc>
        <w:tc>
          <w:p>
            <w:r>
              <w:rPr>
                <w:sz w:val="14"/>
                <w:rFonts w:ascii="Myriad Pro Light"/>
                <w:tcPr>
                  <w:vAlign w:val="center"/>
                </w:tcPr>
              </w:rPr>
              <w:t>3.0 m² per 25 kg</w:t>
            </w:r>
          </w:p>
        </w:tc>
      </w:tr>
      <w:tr>
        <w:tc>
          <w:p>
            <w:r>
              <w:rPr>
                <w:sz w:val="14"/>
                <w:rFonts w:ascii="Myriad Pro Light"/>
                <w:tcPr>
                  <w:vAlign w:val="center"/>
                </w:tcPr>
              </w:rPr>
              <w:t>DecimA WF/DF</w:t>
            </w:r>
          </w:p>
        </w:tc>
        <w:tc>
          <w:p>
            <w:r>
              <w:rPr>
                <w:sz w:val="14"/>
                <w:rFonts w:ascii="Myriad Pro Light"/>
                <w:tcPr>
                  <w:vAlign w:val="center"/>
                </w:tcPr>
              </w:rPr>
              <w:t>2.5 m² per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Paving layer</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Vande Moortel H2O Bedding Course is recommended for the paving layer. This crushed sand has a fraction of 2/4 and the quality required for good durable water permeability. That means that the Los Angeles coefficient (LA – resistance to crushing) must not exceed 20 and the Micro-Deval coefficient (MDE – resistance to abrasion) must not exceed 15.</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Packaging and consumption of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Packaging</w:t>
            </w:r>
          </w:p>
        </w:tc>
        <w:tc>
          <w:p>
            <w:r>
              <w:rPr>
                <w:sz w:val="14"/>
                <w:rFonts w:ascii="Myriad Pro Light"/>
                <w:b/>
                <w:tcPr>
                  <w:vAlign w:val="center"/>
                </w:tcPr>
              </w:rPr>
              <w:t>Per 40 kg bag</w:t>
            </w:r>
          </w:p>
        </w:tc>
      </w:tr>
      <w:tr>
        <w:tc>
          <w:p>
            <w:r>
              <w:rPr>
                <w:sz w:val="14"/>
                <w:rFonts w:ascii="Myriad Pro Light"/>
                <w:tcPr>
                  <w:vAlign w:val="center"/>
                </w:tcPr>
              </w:rPr>
              <w:t>Consumption (thickness 3 cm after compression)</w:t>
            </w:r>
          </w:p>
        </w:tc>
        <w:tc>
          <w:p>
            <w:r>
              <w:rPr>
                <w:sz w:val="14"/>
                <w:rFonts w:ascii="Myriad Pro Light"/>
                <w:tcPr>
                  <w:vAlign w:val="center"/>
                </w:tcPr>
              </w:rPr>
              <w:t>Approximately 0.85 m² per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Water-permeable crushed stone foundations</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Draining lean-mixed concrete foundations are most suitable for zones with a significant number of passages of heavy traffic. For all other applications, an unbound, preferably continuous water-permeable crushed stone sub-base layer with a sufficient load-bearing capacity can be used. </w:t>
        <w:br/>
        <w:t>In Flanders: in accordance with SB250 version 4.1.a, section 5-4.13 and section 3-7.1.2.15</w:t>
        <w:br/>
        <w:t>In Brussels: in accordance with TB2015, section E.4.2</w:t>
        <w:br/>
        <w:t>In Wallonia: in accordance with Qualiroutes 20 July 2021, section F.4.2.1 (subject to the restriction of the number of fine constituents) or in accordance with section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Additional information on the use of draining lean-mixed concrete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For a draining lean-mixed concrete sub-base, according to the recommendations of the Research Centre for Road Construction (OCW) (memorandum 04/05/06 2022), a geotextile according to PTV 829 is provided in order to prevent the seepage of fine particles from the paving layer.</w:t>
        <w:br/>
        <w:t>In Flanders: in accordance with SB250 version 4.1.a, section 5-4.10</w:t>
        <w:br/>
        <w:t>In Brussels: in accordance with TB2015, section E.4.5</w:t>
        <w:br/>
        <w:t>In Wallonia: in accordance with Qualiroutes 20 July 2021, section F. 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Water-permeable crushed stone sub-foundations</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It is recommended to use the same materials as the ones used for the crushed stone sub-base layer. Mixed rubble or masonry rubble is therefore not recommended. The properties for a water-permeable crushed stone sub-base layer can also be found in SB250 version 4.1.a, section 5 – 3.6.</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Geotextile - Geogrid</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In addition, a geotextile and geogrid can be laid under the sub-foundations to improve the load-bearing capacity if the subsoil is saturated. Geotextile type 2.5B, non-woven according to SB250 version 4.1.a</w:t>
        <w:br/>
        <w:t>Geogrid in SB250 version 4.1.a. section 3 – 13.3.2.2.</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MAINTENANCE</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Water-permeable paving constructed using clay pavers is low-maintenance. Cleaning can be carried out using a jet washer. The contaminated joint material released is removed from the paving. </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Colosseum water-permeable clay pavers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04-11-2026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CLAY PAVERS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