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Titan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Dark grey</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pavers are delivered with the following characteristics, in accordance with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*235x36x72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111</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5%</w:t>
            </w:r>
          </w:p>
        </w:tc>
        <w:tc>
          <w:p>
            <w:r>
              <w:rPr>
                <w:sz w:val="14"/>
                <w:rFonts w:ascii="Myriad Pro Light"/>
                <w:tcPr>
                  <w:vAlign w:val="center"/>
                </w:tcPr>
              </w:rPr>
              <w:t>Max 6%</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R1</w:t>
            </w:r>
          </w:p>
        </w:tc>
        <w:tc>
          <w:p>
            <w:r>
              <w:rPr>
                <w:sz w:val="14"/>
                <w:rFonts w:ascii="Myriad Pro Light"/>
                <w:tcPr>
                  <w:vAlign w:val="center"/>
                </w:tcPr>
              </w:rPr>
              <w:t>Max. ± 0,4 vd</w:t>
            </w:r>
          </w:p>
        </w:tc>
        <w:tc>
          <w:p>
            <w:r>
              <w:rPr>
                <w:sz w:val="14"/>
                <w:rFonts w:ascii="Myriad Pro Light"/>
                <w:tcPr>
                  <w:vAlign w:val="center"/>
                </w:tcPr>
              </w:rPr>
              <w:t>Max. 0,6 vd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br/>
        <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Titan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