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Carmine red</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pavers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*235x36x72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111</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R1</w:t>
            </w:r>
          </w:p>
        </w:tc>
        <w:tc>
          <w:p>
            <w:r>
              <w:rPr>
                <w:sz w:val="14"/>
                <w:rFonts w:ascii="Myriad Pro Light"/>
                <w:tcPr>
                  <w:vAlign w:val="center"/>
                </w:tcPr>
              </w:rPr>
              <w:t>Max. ±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Carmine red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